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6FD" w:rsidRDefault="00A35372">
      <w:pPr>
        <w:pStyle w:val="Textoindependiente"/>
        <w:ind w:left="201"/>
        <w:rPr>
          <w:rFonts w:ascii="Times New Roman"/>
          <w:b w:val="0"/>
          <w:sz w:val="20"/>
        </w:rPr>
      </w:pPr>
      <w:bookmarkStart w:id="0" w:name="_GoBack"/>
      <w:bookmarkEnd w:id="0"/>
      <w:r>
        <w:rPr>
          <w:rFonts w:ascii="Times New Roman"/>
          <w:b w:val="0"/>
          <w:noProof/>
          <w:sz w:val="20"/>
          <w:lang w:bidi="ar-SA"/>
        </w:rPr>
        <w:drawing>
          <wp:inline distT="0" distB="0" distL="0" distR="0">
            <wp:extent cx="1776507" cy="13853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6507" cy="138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6FD" w:rsidRDefault="00A35372">
      <w:pPr>
        <w:spacing w:before="85" w:line="482" w:lineRule="auto"/>
        <w:ind w:left="200" w:right="115" w:firstLine="5916"/>
        <w:jc w:val="both"/>
        <w:rPr>
          <w:b/>
        </w:rPr>
      </w:pPr>
      <w:r>
        <w:rPr>
          <w:sz w:val="20"/>
        </w:rPr>
        <w:t xml:space="preserve">Circular </w:t>
      </w:r>
      <w:proofErr w:type="spellStart"/>
      <w:r>
        <w:rPr>
          <w:sz w:val="20"/>
        </w:rPr>
        <w:t>Adm</w:t>
      </w:r>
      <w:proofErr w:type="spellEnd"/>
      <w:r>
        <w:rPr>
          <w:sz w:val="20"/>
        </w:rPr>
        <w:t xml:space="preserve">.: 3/2020-2021 </w:t>
      </w:r>
      <w:r>
        <w:rPr>
          <w:b/>
          <w:u w:val="single"/>
        </w:rPr>
        <w:t>TARIFES AUTONÒMIQUES D'ARBITRATGES I ANOTACIONS TEMPORADA 2020-2021</w:t>
      </w:r>
      <w:r>
        <w:rPr>
          <w:b/>
        </w:rPr>
        <w:t xml:space="preserve"> 1.- TARIFES ARBITRATGES:</w:t>
      </w:r>
    </w:p>
    <w:p w:rsidR="005C66FD" w:rsidRDefault="00A35372">
      <w:pPr>
        <w:spacing w:line="256" w:lineRule="exact"/>
        <w:ind w:left="200"/>
      </w:pPr>
      <w:r>
        <w:t>BEISBOL I SÓFBOL</w:t>
      </w:r>
    </w:p>
    <w:p w:rsidR="005C66FD" w:rsidRDefault="005C66FD">
      <w:pPr>
        <w:pStyle w:val="Textoindependiente"/>
        <w:spacing w:before="5" w:after="1"/>
        <w:rPr>
          <w:b w:val="0"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2268"/>
      </w:tblGrid>
      <w:tr w:rsidR="005C66FD">
        <w:trPr>
          <w:trHeight w:val="269"/>
        </w:trPr>
        <w:tc>
          <w:tcPr>
            <w:tcW w:w="4500" w:type="dxa"/>
          </w:tcPr>
          <w:p w:rsidR="005C66FD" w:rsidRDefault="00A35372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  <w:u w:val="single"/>
              </w:rPr>
              <w:t>CATEGORIA</w:t>
            </w:r>
          </w:p>
        </w:tc>
        <w:tc>
          <w:tcPr>
            <w:tcW w:w="2268" w:type="dxa"/>
          </w:tcPr>
          <w:p w:rsidR="005C66FD" w:rsidRDefault="00A35372">
            <w:pPr>
              <w:pStyle w:val="TableParagraph"/>
              <w:ind w:left="678" w:right="730"/>
              <w:jc w:val="center"/>
              <w:rPr>
                <w:b/>
                <w:i/>
              </w:rPr>
            </w:pPr>
            <w:r>
              <w:rPr>
                <w:b/>
                <w:i/>
                <w:u w:val="single"/>
              </w:rPr>
              <w:t>TARIFA</w:t>
            </w:r>
          </w:p>
        </w:tc>
      </w:tr>
      <w:tr w:rsidR="005C66FD">
        <w:trPr>
          <w:trHeight w:val="270"/>
        </w:trPr>
        <w:tc>
          <w:tcPr>
            <w:tcW w:w="4500" w:type="dxa"/>
          </w:tcPr>
          <w:p w:rsidR="005C66FD" w:rsidRDefault="00A35372">
            <w:pPr>
              <w:pStyle w:val="TableParagraph"/>
              <w:spacing w:line="250" w:lineRule="exact"/>
            </w:pPr>
            <w:r>
              <w:t>SUB 11</w:t>
            </w:r>
          </w:p>
        </w:tc>
        <w:tc>
          <w:tcPr>
            <w:tcW w:w="2268" w:type="dxa"/>
          </w:tcPr>
          <w:p w:rsidR="005C66FD" w:rsidRDefault="00A35372">
            <w:pPr>
              <w:pStyle w:val="TableParagraph"/>
              <w:spacing w:line="250" w:lineRule="exact"/>
              <w:ind w:left="726" w:right="701"/>
              <w:jc w:val="center"/>
            </w:pPr>
            <w:r>
              <w:t>12,00 €</w:t>
            </w:r>
          </w:p>
        </w:tc>
      </w:tr>
      <w:tr w:rsidR="005C66FD">
        <w:trPr>
          <w:trHeight w:val="270"/>
        </w:trPr>
        <w:tc>
          <w:tcPr>
            <w:tcW w:w="4500" w:type="dxa"/>
          </w:tcPr>
          <w:p w:rsidR="005C66FD" w:rsidRDefault="00A35372">
            <w:pPr>
              <w:pStyle w:val="TableParagraph"/>
            </w:pPr>
            <w:r>
              <w:t>SUB 13</w:t>
            </w:r>
          </w:p>
        </w:tc>
        <w:tc>
          <w:tcPr>
            <w:tcW w:w="2268" w:type="dxa"/>
          </w:tcPr>
          <w:p w:rsidR="005C66FD" w:rsidRDefault="00A35372">
            <w:pPr>
              <w:pStyle w:val="TableParagraph"/>
              <w:ind w:left="726" w:right="701"/>
              <w:jc w:val="center"/>
            </w:pPr>
            <w:r>
              <w:t>12,00 €</w:t>
            </w:r>
          </w:p>
        </w:tc>
      </w:tr>
      <w:tr w:rsidR="005C66FD">
        <w:trPr>
          <w:trHeight w:val="265"/>
        </w:trPr>
        <w:tc>
          <w:tcPr>
            <w:tcW w:w="4500" w:type="dxa"/>
          </w:tcPr>
          <w:p w:rsidR="005C66FD" w:rsidRDefault="00A35372">
            <w:pPr>
              <w:pStyle w:val="TableParagraph"/>
              <w:spacing w:line="246" w:lineRule="exact"/>
            </w:pPr>
            <w:r>
              <w:t>SUB 15</w:t>
            </w:r>
          </w:p>
        </w:tc>
        <w:tc>
          <w:tcPr>
            <w:tcW w:w="2268" w:type="dxa"/>
          </w:tcPr>
          <w:p w:rsidR="005C66FD" w:rsidRDefault="00A35372">
            <w:pPr>
              <w:pStyle w:val="TableParagraph"/>
              <w:spacing w:line="246" w:lineRule="exact"/>
              <w:ind w:left="726" w:right="701"/>
              <w:jc w:val="center"/>
            </w:pPr>
            <w:r>
              <w:t>12,00 €</w:t>
            </w:r>
          </w:p>
        </w:tc>
      </w:tr>
      <w:tr w:rsidR="005C66FD">
        <w:trPr>
          <w:trHeight w:val="270"/>
        </w:trPr>
        <w:tc>
          <w:tcPr>
            <w:tcW w:w="4500" w:type="dxa"/>
          </w:tcPr>
          <w:p w:rsidR="005C66FD" w:rsidRDefault="00A35372">
            <w:pPr>
              <w:pStyle w:val="TableParagraph"/>
            </w:pPr>
            <w:r>
              <w:t>SUB 18</w:t>
            </w:r>
          </w:p>
        </w:tc>
        <w:tc>
          <w:tcPr>
            <w:tcW w:w="2268" w:type="dxa"/>
          </w:tcPr>
          <w:p w:rsidR="005C66FD" w:rsidRDefault="00A35372">
            <w:pPr>
              <w:pStyle w:val="TableParagraph"/>
              <w:ind w:left="726" w:right="701"/>
              <w:jc w:val="center"/>
            </w:pPr>
            <w:r>
              <w:t>17,25 €</w:t>
            </w:r>
          </w:p>
        </w:tc>
      </w:tr>
      <w:tr w:rsidR="005C66FD">
        <w:trPr>
          <w:trHeight w:val="269"/>
        </w:trPr>
        <w:tc>
          <w:tcPr>
            <w:tcW w:w="4500" w:type="dxa"/>
          </w:tcPr>
          <w:p w:rsidR="005C66FD" w:rsidRDefault="00A35372">
            <w:pPr>
              <w:pStyle w:val="TableParagraph"/>
              <w:spacing w:line="250" w:lineRule="exact"/>
            </w:pPr>
            <w:r>
              <w:t>SÈNIOR BEISBOL</w:t>
            </w:r>
          </w:p>
        </w:tc>
        <w:tc>
          <w:tcPr>
            <w:tcW w:w="2268" w:type="dxa"/>
          </w:tcPr>
          <w:p w:rsidR="005C66FD" w:rsidRDefault="00A35372">
            <w:pPr>
              <w:pStyle w:val="TableParagraph"/>
              <w:spacing w:line="250" w:lineRule="exact"/>
              <w:ind w:left="726" w:right="701"/>
              <w:jc w:val="center"/>
            </w:pPr>
            <w:r>
              <w:t>34,50 €</w:t>
            </w:r>
          </w:p>
        </w:tc>
      </w:tr>
      <w:tr w:rsidR="005C66FD">
        <w:trPr>
          <w:trHeight w:val="270"/>
        </w:trPr>
        <w:tc>
          <w:tcPr>
            <w:tcW w:w="4500" w:type="dxa"/>
          </w:tcPr>
          <w:p w:rsidR="005C66FD" w:rsidRDefault="00A35372">
            <w:pPr>
              <w:pStyle w:val="TableParagraph"/>
            </w:pPr>
            <w:r>
              <w:t>SÈNIOR SÓFBOL</w:t>
            </w:r>
          </w:p>
        </w:tc>
        <w:tc>
          <w:tcPr>
            <w:tcW w:w="2268" w:type="dxa"/>
          </w:tcPr>
          <w:p w:rsidR="005C66FD" w:rsidRDefault="00A35372">
            <w:pPr>
              <w:pStyle w:val="TableParagraph"/>
              <w:ind w:left="726" w:right="701"/>
              <w:jc w:val="center"/>
            </w:pPr>
            <w:r>
              <w:t>28,75 €</w:t>
            </w:r>
          </w:p>
        </w:tc>
      </w:tr>
      <w:tr w:rsidR="005C66FD">
        <w:trPr>
          <w:trHeight w:val="270"/>
        </w:trPr>
        <w:tc>
          <w:tcPr>
            <w:tcW w:w="4500" w:type="dxa"/>
          </w:tcPr>
          <w:p w:rsidR="005C66FD" w:rsidRDefault="00A35372">
            <w:pPr>
              <w:pStyle w:val="TableParagraph"/>
            </w:pPr>
            <w:r>
              <w:t>DESPLAÇAMENT CASTELLÓ/GANDIA</w:t>
            </w:r>
          </w:p>
        </w:tc>
        <w:tc>
          <w:tcPr>
            <w:tcW w:w="2268" w:type="dxa"/>
          </w:tcPr>
          <w:p w:rsidR="005C66FD" w:rsidRDefault="00A35372">
            <w:pPr>
              <w:pStyle w:val="TableParagraph"/>
              <w:ind w:left="726" w:right="701"/>
              <w:jc w:val="center"/>
            </w:pPr>
            <w:r>
              <w:t>20,00 €</w:t>
            </w:r>
          </w:p>
        </w:tc>
      </w:tr>
    </w:tbl>
    <w:p w:rsidR="005C66FD" w:rsidRDefault="005C66FD">
      <w:pPr>
        <w:pStyle w:val="Textoindependiente"/>
        <w:rPr>
          <w:b w:val="0"/>
          <w:sz w:val="26"/>
        </w:rPr>
      </w:pPr>
    </w:p>
    <w:p w:rsidR="005C66FD" w:rsidRDefault="00A35372">
      <w:pPr>
        <w:pStyle w:val="Textoindependiente"/>
        <w:spacing w:before="208"/>
        <w:ind w:left="200"/>
      </w:pPr>
      <w:r>
        <w:t>2.- TARIFES ANOTACIONS:</w:t>
      </w:r>
    </w:p>
    <w:p w:rsidR="005C66FD" w:rsidRDefault="005C66FD">
      <w:pPr>
        <w:pStyle w:val="Textoindependiente"/>
        <w:rPr>
          <w:sz w:val="21"/>
        </w:rPr>
      </w:pPr>
    </w:p>
    <w:p w:rsidR="005C66FD" w:rsidRDefault="00A35372">
      <w:pPr>
        <w:ind w:left="199"/>
      </w:pPr>
      <w:r>
        <w:t>BEISBOL I SÓFBOL</w:t>
      </w:r>
    </w:p>
    <w:p w:rsidR="005C66FD" w:rsidRDefault="005C66FD">
      <w:pPr>
        <w:pStyle w:val="Textoindependiente"/>
        <w:spacing w:before="6"/>
        <w:rPr>
          <w:b w:val="0"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2268"/>
      </w:tblGrid>
      <w:tr w:rsidR="005C66FD">
        <w:trPr>
          <w:trHeight w:val="270"/>
        </w:trPr>
        <w:tc>
          <w:tcPr>
            <w:tcW w:w="4500" w:type="dxa"/>
          </w:tcPr>
          <w:p w:rsidR="005C66FD" w:rsidRDefault="00A35372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  <w:u w:val="single"/>
              </w:rPr>
              <w:t>CATEGORIA</w:t>
            </w:r>
          </w:p>
        </w:tc>
        <w:tc>
          <w:tcPr>
            <w:tcW w:w="2268" w:type="dxa"/>
          </w:tcPr>
          <w:p w:rsidR="005C66FD" w:rsidRDefault="00A35372">
            <w:pPr>
              <w:pStyle w:val="TableParagraph"/>
              <w:ind w:left="678" w:right="730"/>
              <w:jc w:val="center"/>
              <w:rPr>
                <w:b/>
                <w:i/>
              </w:rPr>
            </w:pPr>
            <w:r>
              <w:rPr>
                <w:b/>
                <w:i/>
                <w:u w:val="single"/>
              </w:rPr>
              <w:t>TARIFA</w:t>
            </w:r>
          </w:p>
        </w:tc>
      </w:tr>
      <w:tr w:rsidR="005C66FD">
        <w:trPr>
          <w:trHeight w:val="270"/>
        </w:trPr>
        <w:tc>
          <w:tcPr>
            <w:tcW w:w="4500" w:type="dxa"/>
          </w:tcPr>
          <w:p w:rsidR="005C66FD" w:rsidRDefault="00A35372">
            <w:pPr>
              <w:pStyle w:val="TableParagraph"/>
              <w:spacing w:line="250" w:lineRule="exact"/>
            </w:pPr>
            <w:r>
              <w:t>SUB 11</w:t>
            </w:r>
          </w:p>
        </w:tc>
        <w:tc>
          <w:tcPr>
            <w:tcW w:w="2268" w:type="dxa"/>
          </w:tcPr>
          <w:p w:rsidR="005C66FD" w:rsidRDefault="005C66F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5C66FD">
        <w:trPr>
          <w:trHeight w:val="270"/>
        </w:trPr>
        <w:tc>
          <w:tcPr>
            <w:tcW w:w="4500" w:type="dxa"/>
          </w:tcPr>
          <w:p w:rsidR="005C66FD" w:rsidRDefault="00A35372">
            <w:pPr>
              <w:pStyle w:val="TableParagraph"/>
            </w:pPr>
            <w:r>
              <w:t>SUB 13</w:t>
            </w:r>
          </w:p>
        </w:tc>
        <w:tc>
          <w:tcPr>
            <w:tcW w:w="2268" w:type="dxa"/>
          </w:tcPr>
          <w:p w:rsidR="005C66FD" w:rsidRDefault="005C66F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5C66FD">
        <w:trPr>
          <w:trHeight w:val="266"/>
        </w:trPr>
        <w:tc>
          <w:tcPr>
            <w:tcW w:w="4500" w:type="dxa"/>
          </w:tcPr>
          <w:p w:rsidR="005C66FD" w:rsidRDefault="00A35372">
            <w:pPr>
              <w:pStyle w:val="TableParagraph"/>
              <w:spacing w:line="246" w:lineRule="exact"/>
            </w:pPr>
            <w:r>
              <w:t>SUB 15</w:t>
            </w:r>
          </w:p>
        </w:tc>
        <w:tc>
          <w:tcPr>
            <w:tcW w:w="2268" w:type="dxa"/>
          </w:tcPr>
          <w:p w:rsidR="005C66FD" w:rsidRDefault="00A35372">
            <w:pPr>
              <w:pStyle w:val="TableParagraph"/>
              <w:spacing w:line="246" w:lineRule="exact"/>
              <w:ind w:left="726" w:right="701"/>
              <w:jc w:val="center"/>
            </w:pPr>
            <w:r>
              <w:t>17,25 €</w:t>
            </w:r>
          </w:p>
        </w:tc>
      </w:tr>
      <w:tr w:rsidR="005C66FD">
        <w:trPr>
          <w:trHeight w:val="269"/>
        </w:trPr>
        <w:tc>
          <w:tcPr>
            <w:tcW w:w="4500" w:type="dxa"/>
          </w:tcPr>
          <w:p w:rsidR="005C66FD" w:rsidRDefault="00A35372">
            <w:pPr>
              <w:pStyle w:val="TableParagraph"/>
            </w:pPr>
            <w:r>
              <w:t>SUB 18</w:t>
            </w:r>
          </w:p>
        </w:tc>
        <w:tc>
          <w:tcPr>
            <w:tcW w:w="2268" w:type="dxa"/>
          </w:tcPr>
          <w:p w:rsidR="005C66FD" w:rsidRDefault="00A35372">
            <w:pPr>
              <w:pStyle w:val="TableParagraph"/>
              <w:ind w:left="726" w:right="701"/>
              <w:jc w:val="center"/>
            </w:pPr>
            <w:r>
              <w:t>17,25 €</w:t>
            </w:r>
          </w:p>
        </w:tc>
      </w:tr>
      <w:tr w:rsidR="005C66FD">
        <w:trPr>
          <w:trHeight w:val="270"/>
        </w:trPr>
        <w:tc>
          <w:tcPr>
            <w:tcW w:w="4500" w:type="dxa"/>
          </w:tcPr>
          <w:p w:rsidR="005C66FD" w:rsidRDefault="00A35372">
            <w:pPr>
              <w:pStyle w:val="TableParagraph"/>
              <w:spacing w:line="250" w:lineRule="exact"/>
            </w:pPr>
            <w:r>
              <w:t>SÈNIOR BEISBOL</w:t>
            </w:r>
          </w:p>
        </w:tc>
        <w:tc>
          <w:tcPr>
            <w:tcW w:w="2268" w:type="dxa"/>
          </w:tcPr>
          <w:p w:rsidR="005C66FD" w:rsidRDefault="00A35372">
            <w:pPr>
              <w:pStyle w:val="TableParagraph"/>
              <w:spacing w:line="250" w:lineRule="exact"/>
              <w:ind w:left="726" w:right="701"/>
              <w:jc w:val="center"/>
            </w:pPr>
            <w:r>
              <w:t>30,00 €</w:t>
            </w:r>
          </w:p>
        </w:tc>
      </w:tr>
      <w:tr w:rsidR="005C66FD">
        <w:trPr>
          <w:trHeight w:val="269"/>
        </w:trPr>
        <w:tc>
          <w:tcPr>
            <w:tcW w:w="4500" w:type="dxa"/>
          </w:tcPr>
          <w:p w:rsidR="005C66FD" w:rsidRDefault="00A35372">
            <w:pPr>
              <w:pStyle w:val="TableParagraph"/>
            </w:pPr>
            <w:r>
              <w:t>SÈNIOR SÓFBOL</w:t>
            </w:r>
          </w:p>
        </w:tc>
        <w:tc>
          <w:tcPr>
            <w:tcW w:w="2268" w:type="dxa"/>
          </w:tcPr>
          <w:p w:rsidR="005C66FD" w:rsidRDefault="00A35372">
            <w:pPr>
              <w:pStyle w:val="TableParagraph"/>
              <w:ind w:left="726" w:right="701"/>
              <w:jc w:val="center"/>
            </w:pPr>
            <w:r>
              <w:t>25,00 €</w:t>
            </w:r>
          </w:p>
        </w:tc>
      </w:tr>
      <w:tr w:rsidR="005C66FD">
        <w:trPr>
          <w:trHeight w:val="266"/>
        </w:trPr>
        <w:tc>
          <w:tcPr>
            <w:tcW w:w="4500" w:type="dxa"/>
          </w:tcPr>
          <w:p w:rsidR="005C66FD" w:rsidRDefault="00A35372">
            <w:pPr>
              <w:pStyle w:val="TableParagraph"/>
              <w:spacing w:line="246" w:lineRule="exact"/>
            </w:pPr>
            <w:r>
              <w:t>DESPLAÇAMENT CASTELLÓ/GANDIA</w:t>
            </w:r>
          </w:p>
        </w:tc>
        <w:tc>
          <w:tcPr>
            <w:tcW w:w="2268" w:type="dxa"/>
          </w:tcPr>
          <w:p w:rsidR="005C66FD" w:rsidRDefault="00A35372">
            <w:pPr>
              <w:pStyle w:val="TableParagraph"/>
              <w:spacing w:line="246" w:lineRule="exact"/>
              <w:ind w:left="726" w:right="701"/>
              <w:jc w:val="center"/>
            </w:pPr>
            <w:r>
              <w:t>20,00 €</w:t>
            </w:r>
          </w:p>
        </w:tc>
      </w:tr>
      <w:tr w:rsidR="005C66FD">
        <w:trPr>
          <w:trHeight w:val="273"/>
        </w:trPr>
        <w:tc>
          <w:tcPr>
            <w:tcW w:w="4500" w:type="dxa"/>
          </w:tcPr>
          <w:p w:rsidR="005C66FD" w:rsidRDefault="00A35372">
            <w:pPr>
              <w:pStyle w:val="TableParagraph"/>
              <w:spacing w:line="251" w:lineRule="exact"/>
            </w:pPr>
            <w:r>
              <w:t>DATA ENTRY PER PARTIT</w:t>
            </w:r>
          </w:p>
        </w:tc>
        <w:tc>
          <w:tcPr>
            <w:tcW w:w="2268" w:type="dxa"/>
          </w:tcPr>
          <w:p w:rsidR="005C66FD" w:rsidRDefault="00A35372">
            <w:pPr>
              <w:pStyle w:val="TableParagraph"/>
              <w:spacing w:line="251" w:lineRule="exact"/>
              <w:ind w:left="726" w:right="701"/>
              <w:jc w:val="center"/>
            </w:pPr>
            <w:r>
              <w:t>8,00€</w:t>
            </w:r>
          </w:p>
        </w:tc>
      </w:tr>
    </w:tbl>
    <w:p w:rsidR="005C66FD" w:rsidRDefault="005C66FD">
      <w:pPr>
        <w:pStyle w:val="Textoindependiente"/>
        <w:rPr>
          <w:b w:val="0"/>
          <w:sz w:val="26"/>
        </w:rPr>
      </w:pPr>
    </w:p>
    <w:p w:rsidR="005C66FD" w:rsidRDefault="00A35372">
      <w:pPr>
        <w:pStyle w:val="Textoindependiente"/>
        <w:spacing w:before="210" w:line="237" w:lineRule="auto"/>
        <w:ind w:left="200" w:right="114"/>
        <w:jc w:val="both"/>
      </w:pPr>
      <w:r>
        <w:t xml:space="preserve">Es </w:t>
      </w:r>
      <w:proofErr w:type="spellStart"/>
      <w:r>
        <w:t>realitzarà</w:t>
      </w:r>
      <w:proofErr w:type="spellEnd"/>
      <w:r>
        <w:t xml:space="preserve"> un </w:t>
      </w:r>
      <w:proofErr w:type="spellStart"/>
      <w:r>
        <w:t>albarà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arbitratges</w:t>
      </w:r>
      <w:proofErr w:type="spellEnd"/>
      <w:r>
        <w:t>/</w:t>
      </w:r>
      <w:proofErr w:type="spellStart"/>
      <w:r>
        <w:t>anotacions</w:t>
      </w:r>
      <w:proofErr w:type="spellEnd"/>
      <w:r>
        <w:t xml:space="preserve"> </w:t>
      </w:r>
      <w:proofErr w:type="spellStart"/>
      <w:r>
        <w:t>generats</w:t>
      </w:r>
      <w:proofErr w:type="spellEnd"/>
      <w:r>
        <w:t xml:space="preserve"> en el mes anterior el </w:t>
      </w:r>
      <w:proofErr w:type="spellStart"/>
      <w:r>
        <w:t>qual</w:t>
      </w:r>
      <w:proofErr w:type="spellEnd"/>
      <w:r>
        <w:t xml:space="preserve"> </w:t>
      </w:r>
      <w:proofErr w:type="spellStart"/>
      <w:r>
        <w:t>haurà</w:t>
      </w:r>
      <w:proofErr w:type="spellEnd"/>
      <w:r>
        <w:t xml:space="preserve"> de ser </w:t>
      </w:r>
      <w:proofErr w:type="spellStart"/>
      <w:r>
        <w:t>abonat</w:t>
      </w:r>
      <w:proofErr w:type="spellEnd"/>
      <w:r>
        <w:t xml:space="preserve"> per a </w:t>
      </w:r>
      <w:proofErr w:type="spellStart"/>
      <w:r>
        <w:t>posteriorment</w:t>
      </w:r>
      <w:proofErr w:type="spellEnd"/>
      <w:r>
        <w:t xml:space="preserve"> </w:t>
      </w:r>
      <w:proofErr w:type="spellStart"/>
      <w:r>
        <w:t>emetre</w:t>
      </w:r>
      <w:proofErr w:type="spellEnd"/>
      <w:r>
        <w:t xml:space="preserve"> la factura, </w:t>
      </w:r>
      <w:proofErr w:type="spellStart"/>
      <w:r>
        <w:t>aquest</w:t>
      </w:r>
      <w:proofErr w:type="spellEnd"/>
      <w:r>
        <w:t xml:space="preserve"> </w:t>
      </w:r>
      <w:proofErr w:type="spellStart"/>
      <w:r>
        <w:t>abonament</w:t>
      </w:r>
      <w:proofErr w:type="spellEnd"/>
      <w:r>
        <w:t xml:space="preserve"> ha de ser </w:t>
      </w:r>
      <w:proofErr w:type="spellStart"/>
      <w:r>
        <w:t>exclusivament</w:t>
      </w:r>
      <w:proofErr w:type="spellEnd"/>
      <w:r>
        <w:t xml:space="preserve"> </w:t>
      </w:r>
      <w:proofErr w:type="spellStart"/>
      <w:r>
        <w:t>mitjançant</w:t>
      </w:r>
      <w:proofErr w:type="spellEnd"/>
      <w:r>
        <w:t xml:space="preserve"> </w:t>
      </w:r>
      <w:proofErr w:type="spellStart"/>
      <w:r>
        <w:t>transferència</w:t>
      </w:r>
      <w:proofErr w:type="spellEnd"/>
      <w:r>
        <w:t xml:space="preserve"> </w:t>
      </w:r>
      <w:proofErr w:type="spellStart"/>
      <w:r>
        <w:t>bancària</w:t>
      </w:r>
      <w:proofErr w:type="spellEnd"/>
      <w:r>
        <w:t xml:space="preserve"> a favor de:</w:t>
      </w:r>
    </w:p>
    <w:p w:rsidR="005C66FD" w:rsidRDefault="005C66FD">
      <w:pPr>
        <w:pStyle w:val="Textoindependiente"/>
        <w:spacing w:before="3"/>
        <w:rPr>
          <w:sz w:val="21"/>
        </w:rPr>
      </w:pPr>
    </w:p>
    <w:p w:rsidR="005C66FD" w:rsidRDefault="00A35372">
      <w:pPr>
        <w:pStyle w:val="Textoindependiente"/>
        <w:ind w:left="199" w:right="117"/>
        <w:jc w:val="both"/>
      </w:pPr>
      <w:proofErr w:type="spellStart"/>
      <w:r>
        <w:t>Federació</w:t>
      </w:r>
      <w:proofErr w:type="spellEnd"/>
      <w:r>
        <w:t xml:space="preserve"> de </w:t>
      </w:r>
      <w:proofErr w:type="spellStart"/>
      <w:r>
        <w:t>Beisb</w:t>
      </w:r>
      <w:r>
        <w:t>ol</w:t>
      </w:r>
      <w:proofErr w:type="spellEnd"/>
      <w:r>
        <w:t xml:space="preserve">, </w:t>
      </w:r>
      <w:proofErr w:type="spellStart"/>
      <w:r>
        <w:t>Sófbol</w:t>
      </w:r>
      <w:proofErr w:type="spellEnd"/>
      <w:r>
        <w:t xml:space="preserve"> i Futbol </w:t>
      </w:r>
      <w:proofErr w:type="spellStart"/>
      <w:r>
        <w:t>Americà</w:t>
      </w:r>
      <w:proofErr w:type="spellEnd"/>
      <w:r>
        <w:t xml:space="preserve"> de la </w:t>
      </w:r>
      <w:proofErr w:type="spellStart"/>
      <w:r>
        <w:rPr>
          <w:spacing w:val="-3"/>
        </w:rPr>
        <w:t>Comunitat</w:t>
      </w:r>
      <w:proofErr w:type="spellEnd"/>
      <w:r>
        <w:rPr>
          <w:spacing w:val="-3"/>
        </w:rPr>
        <w:t xml:space="preserve"> </w:t>
      </w:r>
      <w:proofErr w:type="gramStart"/>
      <w:r>
        <w:rPr>
          <w:spacing w:val="-3"/>
        </w:rPr>
        <w:t xml:space="preserve">Valenciana </w:t>
      </w:r>
      <w:r>
        <w:t>,</w:t>
      </w:r>
      <w:proofErr w:type="gramEnd"/>
    </w:p>
    <w:p w:rsidR="005C66FD" w:rsidRDefault="005C66FD">
      <w:pPr>
        <w:pStyle w:val="Textoindependiente"/>
        <w:spacing w:before="5"/>
        <w:rPr>
          <w:sz w:val="13"/>
        </w:rPr>
      </w:pPr>
    </w:p>
    <w:p w:rsidR="005C66FD" w:rsidRDefault="00A35372">
      <w:pPr>
        <w:spacing w:before="100"/>
        <w:ind w:left="1732" w:right="1641" w:firstLine="120"/>
        <w:rPr>
          <w:b/>
          <w:i/>
        </w:rPr>
      </w:pPr>
      <w:r>
        <w:rPr>
          <w:b/>
          <w:i/>
          <w:u w:val="single"/>
        </w:rPr>
        <w:t xml:space="preserve">CAIXA POPULAR, </w:t>
      </w:r>
      <w:proofErr w:type="spellStart"/>
      <w:r>
        <w:rPr>
          <w:b/>
          <w:i/>
          <w:u w:val="single"/>
        </w:rPr>
        <w:t>Suc</w:t>
      </w:r>
      <w:proofErr w:type="spellEnd"/>
      <w:r>
        <w:rPr>
          <w:b/>
          <w:i/>
          <w:u w:val="single"/>
        </w:rPr>
        <w:t xml:space="preserve">. 0060, </w:t>
      </w:r>
      <w:proofErr w:type="spellStart"/>
      <w:r>
        <w:rPr>
          <w:b/>
          <w:i/>
          <w:u w:val="single"/>
        </w:rPr>
        <w:t>Benicalap</w:t>
      </w:r>
      <w:proofErr w:type="spellEnd"/>
      <w:r>
        <w:rPr>
          <w:b/>
          <w:i/>
          <w:u w:val="single"/>
        </w:rPr>
        <w:t xml:space="preserve">. </w:t>
      </w:r>
      <w:proofErr w:type="spellStart"/>
      <w:r>
        <w:rPr>
          <w:b/>
          <w:i/>
          <w:u w:val="single"/>
        </w:rPr>
        <w:t>València</w:t>
      </w:r>
      <w:proofErr w:type="spellEnd"/>
      <w:r>
        <w:rPr>
          <w:b/>
          <w:i/>
          <w:u w:val="single"/>
        </w:rPr>
        <w:t>,</w:t>
      </w:r>
      <w:r>
        <w:rPr>
          <w:b/>
          <w:i/>
        </w:rPr>
        <w:t xml:space="preserve"> </w:t>
      </w:r>
      <w:proofErr w:type="spellStart"/>
      <w:r>
        <w:rPr>
          <w:b/>
          <w:i/>
          <w:u w:val="single"/>
        </w:rPr>
        <w:t>Compte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Corrent</w:t>
      </w:r>
      <w:proofErr w:type="spellEnd"/>
      <w:r>
        <w:rPr>
          <w:b/>
          <w:i/>
          <w:u w:val="single"/>
        </w:rPr>
        <w:t xml:space="preserve"> Núm. ES28 3159 0060 12 2313924124</w:t>
      </w:r>
    </w:p>
    <w:p w:rsidR="005C66FD" w:rsidRDefault="005C66FD">
      <w:pPr>
        <w:pStyle w:val="Textoindependiente"/>
        <w:rPr>
          <w:i/>
          <w:sz w:val="20"/>
        </w:rPr>
      </w:pPr>
    </w:p>
    <w:p w:rsidR="005C66FD" w:rsidRDefault="005C66FD">
      <w:pPr>
        <w:pStyle w:val="Textoindependiente"/>
        <w:rPr>
          <w:i/>
          <w:sz w:val="20"/>
        </w:rPr>
      </w:pPr>
    </w:p>
    <w:p w:rsidR="005C66FD" w:rsidRDefault="005C66FD">
      <w:pPr>
        <w:pStyle w:val="Textoindependiente"/>
        <w:spacing w:before="12"/>
        <w:rPr>
          <w:i/>
          <w:sz w:val="18"/>
        </w:rPr>
      </w:pPr>
    </w:p>
    <w:p w:rsidR="005C66FD" w:rsidRDefault="00A35372">
      <w:pPr>
        <w:spacing w:before="63"/>
        <w:ind w:left="200" w:right="662" w:firstLine="367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 xml:space="preserve">Inscrita en el Registre </w:t>
      </w:r>
      <w:proofErr w:type="spellStart"/>
      <w:r>
        <w:rPr>
          <w:rFonts w:ascii="Calibri" w:hAnsi="Calibri"/>
          <w:sz w:val="18"/>
        </w:rPr>
        <w:t>d'Entitats</w:t>
      </w:r>
      <w:proofErr w:type="spellEnd"/>
      <w:r>
        <w:rPr>
          <w:rFonts w:ascii="Calibri" w:hAnsi="Calibri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Esportives</w:t>
      </w:r>
      <w:proofErr w:type="spellEnd"/>
      <w:r>
        <w:rPr>
          <w:rFonts w:ascii="Calibri" w:hAnsi="Calibri"/>
          <w:sz w:val="18"/>
        </w:rPr>
        <w:t xml:space="preserve"> de la </w:t>
      </w:r>
      <w:proofErr w:type="spellStart"/>
      <w:r>
        <w:rPr>
          <w:rFonts w:ascii="Calibri" w:hAnsi="Calibri"/>
          <w:sz w:val="18"/>
        </w:rPr>
        <w:t>Comunitat</w:t>
      </w:r>
      <w:proofErr w:type="spellEnd"/>
      <w:r>
        <w:rPr>
          <w:rFonts w:ascii="Calibri" w:hAnsi="Calibri"/>
          <w:sz w:val="18"/>
        </w:rPr>
        <w:t xml:space="preserve"> Valenciana, </w:t>
      </w:r>
      <w:proofErr w:type="spellStart"/>
      <w:r>
        <w:rPr>
          <w:rFonts w:ascii="Calibri" w:hAnsi="Calibri"/>
          <w:sz w:val="18"/>
        </w:rPr>
        <w:t>amb</w:t>
      </w:r>
      <w:proofErr w:type="spellEnd"/>
      <w:r>
        <w:rPr>
          <w:rFonts w:ascii="Calibri" w:hAnsi="Calibri"/>
          <w:sz w:val="18"/>
        </w:rPr>
        <w:t xml:space="preserve"> el núm. 41, </w:t>
      </w:r>
      <w:proofErr w:type="spellStart"/>
      <w:r>
        <w:rPr>
          <w:rFonts w:ascii="Calibri" w:hAnsi="Calibri"/>
          <w:sz w:val="18"/>
        </w:rPr>
        <w:t>secció</w:t>
      </w:r>
      <w:proofErr w:type="spellEnd"/>
      <w:r>
        <w:rPr>
          <w:rFonts w:ascii="Calibri" w:hAnsi="Calibri"/>
          <w:sz w:val="18"/>
        </w:rPr>
        <w:t xml:space="preserve"> 2a</w:t>
      </w:r>
      <w:r>
        <w:rPr>
          <w:rFonts w:ascii="Calibri" w:hAnsi="Calibri"/>
          <w:sz w:val="18"/>
        </w:rPr>
        <w:t xml:space="preserve"> Av. Malva-rosa, 122 baj</w:t>
      </w:r>
      <w:hyperlink r:id="rId6">
        <w:r>
          <w:rPr>
            <w:rFonts w:ascii="Calibri" w:hAnsi="Calibri"/>
            <w:sz w:val="18"/>
          </w:rPr>
          <w:t xml:space="preserve">o - Tel. 96 372 65 00 - Fax 96 372 33 82 - beisbolvalencia@ctv.es - </w:t>
        </w:r>
      </w:hyperlink>
      <w:r>
        <w:rPr>
          <w:rFonts w:ascii="Calibri" w:hAnsi="Calibri"/>
          <w:sz w:val="18"/>
        </w:rPr>
        <w:t>46011 VALÈNCIA</w:t>
      </w:r>
    </w:p>
    <w:sectPr w:rsidR="005C66FD">
      <w:type w:val="continuous"/>
      <w:pgSz w:w="11920" w:h="16840"/>
      <w:pgMar w:top="680" w:right="158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C66FD"/>
    <w:rsid w:val="005C66FD"/>
    <w:rsid w:val="00A3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7" w:lineRule="exact"/>
      <w:ind w:left="11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53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372"/>
    <w:rPr>
      <w:rFonts w:ascii="Tahoma" w:eastAsia="Century Gothic" w:hAnsi="Tahoma" w:cs="Tahoma"/>
      <w:sz w:val="16"/>
      <w:szCs w:val="16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eisbolvalencia@ctv.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1018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CIRC. ADM.  3  TARIFAS ARBITRAJES Y ANOTACIONES TEMPORADA 2019-2020.doc</dc:title>
  <dc:creator>Criollos</dc:creator>
  <cp:lastModifiedBy>Mountain</cp:lastModifiedBy>
  <cp:revision>2</cp:revision>
  <dcterms:created xsi:type="dcterms:W3CDTF">2021-01-19T16:51:00Z</dcterms:created>
  <dcterms:modified xsi:type="dcterms:W3CDTF">2021-01-19T16:51:00Z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2020-10-01T00:00:00Z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2021-01-19T00:00:00Z</vt:filetime>
  </property>
</Properties>
</file>